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909CF">
      <w:pPr>
        <w:keepNext w:val="0"/>
        <w:keepLines w:val="0"/>
        <w:pageBreakBefore w:val="0"/>
        <w:widowControl/>
        <w:pBdr>
          <w:bottom w:val="thinThickMediumGap" w:color="FF0000" w:sz="18" w:space="1"/>
        </w:pBdr>
        <w:tabs>
          <w:tab w:val="left" w:pos="7600"/>
        </w:tabs>
        <w:kinsoku w:val="0"/>
        <w:wordWrap/>
        <w:overflowPunct/>
        <w:topLinePunct w:val="0"/>
        <w:autoSpaceDE w:val="0"/>
        <w:autoSpaceDN w:val="0"/>
        <w:bidi w:val="0"/>
        <w:adjustRightInd/>
        <w:snapToGrid w:val="0"/>
        <w:spacing w:line="800" w:lineRule="exact"/>
        <w:jc w:val="center"/>
        <w:textAlignment w:val="baseline"/>
        <w:rPr>
          <w:rStyle w:val="8"/>
          <w:rFonts w:hint="eastAsia" w:ascii="方正小标宋简体" w:eastAsia="方正小标宋简体"/>
          <w:b/>
          <w:color w:val="FF0000"/>
          <w:w w:val="75"/>
          <w:sz w:val="68"/>
          <w:szCs w:val="68"/>
          <w:lang w:val="en-US" w:eastAsia="zh-CN"/>
        </w:rPr>
      </w:pPr>
      <w:r>
        <w:drawing>
          <wp:anchor distT="0" distB="0" distL="114300" distR="114300" simplePos="0" relativeHeight="251659264" behindDoc="1" locked="0" layoutInCell="1" allowOverlap="1">
            <wp:simplePos x="0" y="0"/>
            <wp:positionH relativeFrom="column">
              <wp:posOffset>-34290</wp:posOffset>
            </wp:positionH>
            <wp:positionV relativeFrom="paragraph">
              <wp:posOffset>-217805</wp:posOffset>
            </wp:positionV>
            <wp:extent cx="5737860" cy="964565"/>
            <wp:effectExtent l="0" t="0" r="15240" b="698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rcRect l="1083" t="4405"/>
                    <a:stretch>
                      <a:fillRect/>
                    </a:stretch>
                  </pic:blipFill>
                  <pic:spPr>
                    <a:xfrm>
                      <a:off x="0" y="0"/>
                      <a:ext cx="5737860" cy="964565"/>
                    </a:xfrm>
                    <a:prstGeom prst="rect">
                      <a:avLst/>
                    </a:prstGeom>
                    <a:noFill/>
                    <a:ln>
                      <a:noFill/>
                    </a:ln>
                  </pic:spPr>
                </pic:pic>
              </a:graphicData>
            </a:graphic>
          </wp:anchor>
        </w:drawing>
      </w:r>
    </w:p>
    <w:p w14:paraId="0E6B467C">
      <w:pPr>
        <w:keepNext w:val="0"/>
        <w:keepLines w:val="0"/>
        <w:pageBreakBefore w:val="0"/>
        <w:widowControl/>
        <w:pBdr>
          <w:bottom w:val="thinThickMediumGap" w:color="FF0000" w:sz="18" w:space="1"/>
        </w:pBdr>
        <w:tabs>
          <w:tab w:val="left" w:pos="7600"/>
        </w:tabs>
        <w:kinsoku w:val="0"/>
        <w:wordWrap/>
        <w:overflowPunct/>
        <w:topLinePunct w:val="0"/>
        <w:autoSpaceDE w:val="0"/>
        <w:autoSpaceDN w:val="0"/>
        <w:bidi w:val="0"/>
        <w:adjustRightInd/>
        <w:snapToGrid w:val="0"/>
        <w:spacing w:line="800" w:lineRule="exact"/>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32"/>
          <w:szCs w:val="32"/>
          <w:lang w:val="en-US" w:eastAsia="zh-CN"/>
        </w:rPr>
        <w:t>衡科院</w:t>
      </w:r>
      <w:r>
        <w:rPr>
          <w:rFonts w:hint="eastAsia" w:ascii="方正仿宋_GB2312" w:hAnsi="方正仿宋_GB2312" w:eastAsia="方正仿宋_GB2312" w:cs="方正仿宋_GB2312"/>
          <w:sz w:val="32"/>
          <w:szCs w:val="32"/>
        </w:rPr>
        <w:t>团</w:t>
      </w:r>
      <w:r>
        <w:rPr>
          <w:rFonts w:hint="eastAsia" w:ascii="方正仿宋_GB2312" w:hAnsi="方正仿宋_GB2312" w:eastAsia="方正仿宋_GB2312" w:cs="方正仿宋_GB2312"/>
          <w:sz w:val="32"/>
          <w:szCs w:val="32"/>
          <w:lang w:eastAsia="zh-CN"/>
        </w:rPr>
        <w:t>发〔</w:t>
      </w: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cs="方正仿宋_GB2312"/>
          <w:sz w:val="32"/>
          <w:szCs w:val="32"/>
          <w:lang w:val="en-US" w:eastAsia="zh-CN"/>
        </w:rPr>
        <w:t>6</w:t>
      </w:r>
      <w:r>
        <w:rPr>
          <w:rFonts w:hint="eastAsia" w:ascii="方正仿宋_GB2312" w:hAnsi="方正仿宋_GB2312" w:eastAsia="方正仿宋_GB2312" w:cs="方正仿宋_GB2312"/>
          <w:sz w:val="32"/>
          <w:szCs w:val="32"/>
        </w:rPr>
        <w:t>号</w:t>
      </w:r>
    </w:p>
    <w:p w14:paraId="6DD8E9B2">
      <w:pPr>
        <w:spacing w:before="106" w:line="393" w:lineRule="exact"/>
        <w:jc w:val="both"/>
        <w:rPr>
          <w:rFonts w:ascii="微软雅黑" w:hAnsi="微软雅黑" w:eastAsia="微软雅黑" w:cs="微软雅黑"/>
          <w:color w:val="auto"/>
          <w:spacing w:val="-15"/>
          <w:w w:val="89"/>
          <w:position w:val="-2"/>
          <w:sz w:val="39"/>
          <w:szCs w:val="39"/>
        </w:rPr>
      </w:pPr>
    </w:p>
    <w:p w14:paraId="04C19CF4">
      <w:pPr>
        <w:spacing w:before="106" w:line="393" w:lineRule="exact"/>
        <w:jc w:val="both"/>
        <w:rPr>
          <w:rFonts w:ascii="微软雅黑" w:hAnsi="微软雅黑" w:eastAsia="微软雅黑" w:cs="微软雅黑"/>
          <w:color w:val="auto"/>
          <w:spacing w:val="-15"/>
          <w:w w:val="89"/>
          <w:position w:val="-2"/>
          <w:sz w:val="39"/>
          <w:szCs w:val="39"/>
        </w:rPr>
      </w:pPr>
    </w:p>
    <w:p w14:paraId="3D5DA1CD">
      <w:pPr>
        <w:adjustRightInd w:val="0"/>
        <w:snapToGrid w:val="0"/>
        <w:spacing w:line="660" w:lineRule="exact"/>
        <w:ind w:firstLine="356" w:firstLineChars="100"/>
        <w:jc w:val="center"/>
        <w:rPr>
          <w:rFonts w:hint="eastAsia" w:ascii="黑体" w:hAnsi="黑体" w:eastAsia="黑体" w:cs="黑体"/>
          <w:b/>
          <w:color w:val="000000" w:themeColor="text1"/>
          <w:sz w:val="36"/>
          <w:szCs w:val="36"/>
          <w14:textFill>
            <w14:solidFill>
              <w14:schemeClr w14:val="tx1"/>
            </w14:solidFill>
          </w14:textFill>
        </w:rPr>
      </w:pPr>
      <w:r>
        <w:rPr>
          <w:rFonts w:hint="eastAsia" w:ascii="黑体" w:hAnsi="黑体" w:eastAsia="黑体" w:cs="黑体"/>
          <w:b/>
          <w:color w:val="000000" w:themeColor="text1"/>
          <w:sz w:val="36"/>
          <w:szCs w:val="36"/>
          <w14:textFill>
            <w14:solidFill>
              <w14:schemeClr w14:val="tx1"/>
            </w14:solidFill>
          </w14:textFill>
        </w:rPr>
        <w:t>关于举办2025年“挑战杯”湖南省大学生课外学术科技作品竞赛校内选拔赛的通知</w:t>
      </w:r>
    </w:p>
    <w:p w14:paraId="4E298E6F">
      <w:pPr>
        <w:adjustRightInd w:val="0"/>
        <w:snapToGrid w:val="0"/>
        <w:spacing w:line="660" w:lineRule="exact"/>
        <w:ind w:firstLine="356" w:firstLineChars="100"/>
        <w:jc w:val="center"/>
        <w:rPr>
          <w:rFonts w:hint="eastAsia" w:ascii="黑体" w:hAnsi="黑体" w:eastAsia="黑体" w:cs="黑体"/>
          <w:b/>
          <w:color w:val="000000" w:themeColor="text1"/>
          <w:sz w:val="36"/>
          <w:szCs w:val="36"/>
          <w14:textFill>
            <w14:solidFill>
              <w14:schemeClr w14:val="tx1"/>
            </w14:solidFill>
          </w14:textFill>
        </w:rPr>
      </w:pPr>
    </w:p>
    <w:p w14:paraId="5D05D048">
      <w:pPr>
        <w:widowControl/>
        <w:spacing w:line="560" w:lineRule="exact"/>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各二级学院：</w:t>
      </w:r>
    </w:p>
    <w:p w14:paraId="799E09D6">
      <w:pPr>
        <w:spacing w:line="560" w:lineRule="exact"/>
        <w:ind w:firstLine="632" w:firstLineChars="200"/>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为深入贯彻落实党的二十大和二十届二中、三中全会精神，进一步引导和鼓励青年学生培养科学精神和科学态度，积极学习科学知识和科学方法，培养具有创新意识、实践能力和创业精神的卓越创新人才，积极备战2025年湖南省“挑战杯”大学生课外学术科技作品竞赛，经研究，决定举办2025年湖南省“挑战杯”大学生课外学术科技作品竞赛校内选拔赛，现将有关事项通知如下：</w:t>
      </w:r>
    </w:p>
    <w:p w14:paraId="7D83C82C">
      <w:pPr>
        <w:autoSpaceDE w:val="0"/>
        <w:autoSpaceDN w:val="0"/>
        <w:adjustRightInd w:val="0"/>
        <w:snapToGrid w:val="0"/>
        <w:spacing w:beforeLines="50" w:afterLines="50" w:line="560" w:lineRule="exact"/>
        <w:ind w:firstLine="632" w:firstLineChars="200"/>
        <w:rPr>
          <w:rFonts w:hint="eastAsia"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14:textFill>
            <w14:solidFill>
              <w14:schemeClr w14:val="tx1"/>
            </w14:solidFill>
          </w14:textFill>
        </w:rPr>
        <w:t>一、竞赛组织机构</w:t>
      </w:r>
    </w:p>
    <w:p w14:paraId="05FB403C">
      <w:pPr>
        <w:spacing w:beforeLines="30" w:afterLines="30" w:line="560" w:lineRule="exact"/>
        <w:ind w:firstLine="632"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（一）领导小组</w:t>
      </w:r>
    </w:p>
    <w:p w14:paraId="2C1C9510">
      <w:pPr>
        <w:spacing w:line="560" w:lineRule="exact"/>
        <w:ind w:firstLine="632" w:firstLineChars="200"/>
        <w:rPr>
          <w:rFonts w:hint="default" w:ascii="方正仿宋_GB2312" w:hAnsi="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组  长：</w:t>
      </w:r>
      <w:r>
        <w:rPr>
          <w:rFonts w:hint="eastAsia" w:ascii="方正仿宋_GB2312" w:hAnsi="方正仿宋_GB2312" w:cs="方正仿宋_GB2312"/>
          <w:color w:val="000000" w:themeColor="text1"/>
          <w:sz w:val="32"/>
          <w:szCs w:val="32"/>
          <w:lang w:val="en-US" w:eastAsia="zh-CN"/>
          <w14:textFill>
            <w14:solidFill>
              <w14:schemeClr w14:val="tx1"/>
            </w14:solidFill>
          </w14:textFill>
        </w:rPr>
        <w:t>彭志忠</w:t>
      </w:r>
    </w:p>
    <w:p w14:paraId="2E22B45D">
      <w:pPr>
        <w:spacing w:line="560" w:lineRule="exact"/>
        <w:ind w:firstLine="632" w:firstLineChars="200"/>
        <w:rPr>
          <w:rFonts w:hint="default" w:ascii="方正仿宋_GB2312" w:hAnsi="方正仿宋_GB2312" w:eastAsia="方正仿宋_GB2312" w:cs="方正仿宋_GB2312"/>
          <w:color w:val="000000" w:themeColor="text1"/>
          <w:sz w:val="32"/>
          <w:szCs w:val="32"/>
          <w:lang w:val="en-US"/>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副组长：</w:t>
      </w:r>
      <w:r>
        <w:rPr>
          <w:rFonts w:hint="eastAsia" w:ascii="方正仿宋_GB2312" w:hAnsi="方正仿宋_GB2312" w:cs="方正仿宋_GB2312"/>
          <w:color w:val="000000" w:themeColor="text1"/>
          <w:sz w:val="32"/>
          <w:szCs w:val="32"/>
          <w:lang w:val="en-US" w:eastAsia="zh-CN"/>
          <w14:textFill>
            <w14:solidFill>
              <w14:schemeClr w14:val="tx1"/>
            </w14:solidFill>
          </w14:textFill>
        </w:rPr>
        <w:t>肖启梁、卢桂珍、王芳军</w:t>
      </w:r>
    </w:p>
    <w:p w14:paraId="20B03239">
      <w:pPr>
        <w:pStyle w:val="9"/>
        <w:spacing w:line="564" w:lineRule="exact"/>
        <w:ind w:firstLine="640"/>
        <w:rPr>
          <w:rFonts w:hint="default" w:ascii="方正仿宋_GB2312" w:hAnsi="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成</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员：</w:t>
      </w:r>
      <w:r>
        <w:rPr>
          <w:rFonts w:hint="eastAsia" w:ascii="方正仿宋_GB2312" w:hAnsi="方正仿宋_GB2312" w:cs="方正仿宋_GB2312"/>
          <w:color w:val="000000" w:themeColor="text1"/>
          <w:sz w:val="32"/>
          <w:szCs w:val="32"/>
          <w:lang w:val="en-US" w:eastAsia="zh-CN"/>
          <w14:textFill>
            <w14:solidFill>
              <w14:schemeClr w14:val="tx1"/>
            </w14:solidFill>
          </w14:textFill>
        </w:rPr>
        <w:t>肖建辉、徐胜关、柳玉红、唐俭、方军、曹召斌、闵小茹、黄湘园、陆慧佳、廖丹、罗宇、颜欣</w:t>
      </w:r>
    </w:p>
    <w:p w14:paraId="610351BC">
      <w:pPr>
        <w:spacing w:beforeLines="30" w:afterLines="30" w:line="560" w:lineRule="exact"/>
        <w:ind w:firstLine="632"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（二）评审委员会</w:t>
      </w:r>
    </w:p>
    <w:p w14:paraId="0F4D6B84">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由学校相关学科的专家组成。</w:t>
      </w:r>
    </w:p>
    <w:p w14:paraId="11066F7F">
      <w:pPr>
        <w:spacing w:beforeLines="30" w:afterLines="30" w:line="560" w:lineRule="exact"/>
        <w:ind w:firstLine="632"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（三）纪律与监督委员会</w:t>
      </w:r>
    </w:p>
    <w:p w14:paraId="1527C454">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由学校纪检和相关职能部门工作人员组成，对竞赛组织评审相关工作进行全程监督，对违反竞赛纪律的行为进行处理。</w:t>
      </w:r>
    </w:p>
    <w:p w14:paraId="1E7ABB23">
      <w:pPr>
        <w:spacing w:beforeLines="30" w:afterLines="30" w:line="560" w:lineRule="exact"/>
        <w:ind w:firstLine="632"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（四）竞赛秘书处</w:t>
      </w:r>
    </w:p>
    <w:p w14:paraId="36306C94">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由相关职能部门和各二级学院竞赛活动主要负责人组成，办公室设在校团委。</w:t>
      </w:r>
    </w:p>
    <w:p w14:paraId="4281DEE9">
      <w:pPr>
        <w:autoSpaceDE w:val="0"/>
        <w:autoSpaceDN w:val="0"/>
        <w:adjustRightInd w:val="0"/>
        <w:snapToGrid w:val="0"/>
        <w:spacing w:beforeLines="50" w:afterLines="50" w:line="560" w:lineRule="exact"/>
        <w:ind w:firstLine="632" w:firstLineChars="200"/>
        <w:rPr>
          <w:rFonts w:hint="eastAsia"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14:textFill>
            <w14:solidFill>
              <w14:schemeClr w14:val="tx1"/>
            </w14:solidFill>
          </w14:textFill>
        </w:rPr>
        <w:t>二、参赛要求</w:t>
      </w:r>
    </w:p>
    <w:p w14:paraId="0C28E5D5">
      <w:pPr>
        <w:spacing w:beforeLines="30" w:afterLines="30" w:line="560" w:lineRule="exact"/>
        <w:ind w:firstLine="632"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（一）参赛对象</w:t>
      </w:r>
    </w:p>
    <w:p w14:paraId="721996E4">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凡我校2025年6月1日以前正式注册的全日制非成人教育的在校学生都可申报作品参赛。</w:t>
      </w:r>
    </w:p>
    <w:p w14:paraId="6ED08DEA">
      <w:pPr>
        <w:spacing w:beforeLines="30" w:afterLines="30" w:line="560" w:lineRule="exact"/>
        <w:ind w:firstLine="632"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（二）作品要求</w:t>
      </w:r>
    </w:p>
    <w:p w14:paraId="042A8AED">
      <w:pPr>
        <w:spacing w:line="560" w:lineRule="exact"/>
        <w:ind w:firstLine="632"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作品参赛资格：</w:t>
      </w:r>
    </w:p>
    <w:p w14:paraId="79EB2AF5">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申报参赛的作品必须是2025年6月1日前两年内完成的学生课外学术科技或者社会实践活动成果，可分为个人作品和集体作品。每件作品指导老师原则上不超过3名。</w:t>
      </w:r>
    </w:p>
    <w:p w14:paraId="63792464">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申报个人作品的，申报者必须承担申报作品60%以上的研究工作，作品鉴定证书、专利证书及发表的有关作品上的署名均应为第一作者，合作者必须是学生且不得超过2人。</w:t>
      </w:r>
    </w:p>
    <w:p w14:paraId="758702E7">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凡作者超过3人的项目或者不超过3人，但无法区分第一作者的项目，均须申报集体作品。集体作品的作者必须均为学生，原则上不超过8人。凡有合作者的个人作品或者集体作品，均按学历最高的作者划分至本专科生类进行评审。多个学院学生合作申报的项目，必须提前注明学生、学院信息，并将作品项目名称、参赛学生和指导教师等关键信息在学生所在学院进行公示五天后，将公示截图随作品一同报送。</w:t>
      </w:r>
    </w:p>
    <w:p w14:paraId="42961DA6">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毕业设计和课程设计（论文）、学年论文和学位论文、国际竞赛中获奖的作品、获国家级奖励成果（含本竞赛主办单位参与举办的其他全国性竞赛的获奖作品）等均不在申报范围之列。</w:t>
      </w:r>
    </w:p>
    <w:p w14:paraId="78200B49">
      <w:pPr>
        <w:spacing w:beforeLines="30" w:afterLines="30" w:line="560" w:lineRule="exact"/>
        <w:ind w:firstLine="632"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（三）主体赛事</w:t>
      </w:r>
    </w:p>
    <w:p w14:paraId="05C7F683">
      <w:pPr>
        <w:spacing w:line="560" w:lineRule="exact"/>
        <w:ind w:firstLine="632"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1</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比赛内容</w:t>
      </w:r>
    </w:p>
    <w:p w14:paraId="5A5571A3">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申报参赛的作品分为自然科学类学术论文、哲学社会科学类社会调查报告、科技发明制作三类：</w:t>
      </w:r>
    </w:p>
    <w:p w14:paraId="1608BC64">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自然科学类学术论文。提交资料包括：申报书、作品（含学术论文+支撑材料，8000字以内），支撑材料可包括对论文的进一步阐释、已发表刊物论文页扫描件、影响因子证明、查新证明、检索证明、实验相关照片、图片、扫描件等。</w:t>
      </w:r>
    </w:p>
    <w:p w14:paraId="6E04F8D4">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哲学社会科学类社会调查报告和学术论文。围绕发展成就、文明文化、美丽中国、民生福祉、中国之治等5个组别形成社会调查报告，其中，“发展成就”可以着眼于构建高水平社会主义市场经济体制、建设现代化产业体系、全面推进乡村振兴、促进区域协调发展、推进高水平对外开放、科技自立自强等；“文明文化”可以着眼于强化社会主义意识形态、社会文明建设、文化事业和文化产业、文化传播等；“美丽中国”可以着眼于绿色低碳、污染防治、生物多样性保护、能源清洁利用等；“民生福祉”可以着眼于建设高质量教育体系、完善分配制度、促进就业、健全社会保障、推进健康中国建设、疫情防控等；“中国之治”可以着眼于全过程人民民主、全面依法治国、维护国家安全、完善社会治理等。提交资料包括：申报书、作品（含调研报告+支撑材料，调研报告15000字以内），支撑材料可包括被采用的为党政领导部门、企事业单位所做的各类发展规划、改革方案和咨询报告，同时附原件及采用单位使用证明的复印件和有关鉴定材料，调研过程的问卷、访谈记录、照片、发表的相关论文、相关单位（机构）的反馈、相关奖励证明等。</w:t>
      </w:r>
    </w:p>
    <w:p w14:paraId="1E271B4F">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3）科技发明制作。A类指科技含量较高、制作投入较大的作品；B类指投入较少，且为生产技术或者社会生活带来便利的小发明、小制作等。提交资料包括：申报书、作品（含研究报告+支撑材料），研究报告可图文并茂，要写出作品制作的目的意义、制作过程、结果、创新点、实际应用情况（或应用前景）、存在不足及下一步需要完善的工作，报告中需包括图表、曲线、试验数据、原理结构图、外观图或照片；支撑材料可包括获得的专利、软件著作权、奖项证书、鉴定证书、应用证书、应用证明及其他资质材料等。</w:t>
      </w:r>
    </w:p>
    <w:p w14:paraId="5B90871C">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4）参赛作品涉及下述内容时，必须由申报单位提供有关部门的证明材料，否则不予评审：动植物新品种的发现或培育，须有省级以上农科部门或科研院所开具的证明；对国家保护动植物的研究，须有省级以上林业部门开具的证明（证明该项研究的过程中未对所研究的动植物繁衍、生长产生不利的影响）；新药物的研究，须有卫生行政部门授权机构的鉴定证明；医疗器械的研究，须有卫生行政部门授权机构的鉴定证明；医疗卫生研究，须通过专家鉴定，并最好附上在公开发行的专业性杂志上发表过的文章；涉及燃气用具等与人民生命财产安全有关用具的研究，须有国家相应行政部门授权机构的认定证明。</w:t>
      </w:r>
    </w:p>
    <w:p w14:paraId="6ED73CA8">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（5）参赛类别参照第十五届“挑战杯”湖南省大学生课外学术科技作品竞赛章程进行设置，第十六届大赛类别信息若有变化，另行通知。</w:t>
      </w:r>
    </w:p>
    <w:p w14:paraId="15ECFA32">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2</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作品申报</w:t>
      </w:r>
    </w:p>
    <w:p w14:paraId="67C4DF25">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（1）参赛作品可分为个人和集体申报作品</w:t>
      </w:r>
    </w:p>
    <w:p w14:paraId="4D5B6608">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个人申报作品的，申报者必须承担作品60%以上的研究工作，作品鉴定证书、专利证书及发表的有关作品上的署名均为第一作者，合作者必须是学生且不得超过两人；凡作者超过三人的项目或作者不超过三人但无法区分第一作者的项目，均须申报集体作品。申报集体作品除填写集体作品名称外，还要注明一位同学为集体项目的代表，集体作者必须均是学生。</w:t>
      </w:r>
    </w:p>
    <w:p w14:paraId="71E3D9F0">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（2）组队要求</w:t>
      </w:r>
    </w:p>
    <w:p w14:paraId="269B4109">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校赛阶段，每个团队人数不可超过8人（一般由3-8人组成），每个项目不超过3名指导教师。省赛和国赛阶段，按照相应要求限定团队成员、指导教师数量。鼓励跨学院、跨专业组队，同时注重年级结构的合理安排。团队要主动与指导教师对接，要注重发挥指导教师在选题、调研方案制定、大纲拟定、作品撰写等方面的导引作用。参赛作品的指导教师原则上</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由</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学生自己联络。</w:t>
      </w:r>
    </w:p>
    <w:p w14:paraId="63CBACA9">
      <w:pPr>
        <w:spacing w:beforeLines="30" w:afterLines="30" w:line="560" w:lineRule="exact"/>
        <w:ind w:firstLine="632"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（四）作品申报要求</w:t>
      </w:r>
    </w:p>
    <w:p w14:paraId="38553179">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参赛作品须经作者本人或集体申报，每人以第一作者身份限报1件，每件作品需经学院审核确认（作品申报书见附件1）后上报。</w:t>
      </w:r>
    </w:p>
    <w:p w14:paraId="6AE4DE6D">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参赛作品须经过本单位进行资格及形式审查,初步评定后方可上报竞赛秘书处，竞赛秘书处将根据评审规则对参赛作品进行资格审查。</w:t>
      </w:r>
    </w:p>
    <w:p w14:paraId="79C6FE3E">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自然科学类学术论文、哲学社会科学类社会调查报告两类作品将以文本（若是外文，请附中文本）形式参赛，请以4号楷体字打印（A4纸），附于申报书后。学术论文字数在8000字以内，</w:t>
      </w:r>
    </w:p>
    <w:p w14:paraId="1131ABE0">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调查报告在15000字以内。科技发明制作类作品将以实物、模型展示，结合文本、图片、视频等说明的形式参赛。同一作品不得同时参加主体赛事自然科学类学术论文、哲学社会科学类调查报告、科技发明制作作品评比，往届报送过的作品不得重复报送。</w:t>
      </w:r>
    </w:p>
    <w:p w14:paraId="0B32E2FE">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参赛作品涉及下列内容时，须由申报者提供有关部门的证明材料，否则不予评审：动植物新品种的发现或培育，须有省级以上农科部门或科研院所开具证明；对国家保护动植物的研究，须有省级以上林业部门开具证明，证明该项研究的过程中未产生对所研究的动植物繁衍、生长不利的影响；新药物的研究须有卫生行政部门授权机构的鉴定证明；医疗卫生研究须通过专家鉴定，并最好附有在公开发行的专业性杂志上发表过的文章；涉及燃气用具等与人民生命财产安全有关用具的研究，须有国家相应行政部门授权机构的认定证明。</w:t>
      </w:r>
    </w:p>
    <w:p w14:paraId="53609747">
      <w:pPr>
        <w:spacing w:beforeLines="30" w:afterLines="30" w:line="560" w:lineRule="exact"/>
        <w:ind w:firstLine="632"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（六）评审规则</w:t>
      </w:r>
    </w:p>
    <w:p w14:paraId="4CB84A93">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评审过程中综合考虑作品的科学性、先进性、现实意义等方面因素。其中，自然科学类学术论文侧重考核基础学科学术探索的前沿性和学术性，哲学社会科学类社会调查报告侧重考核与经济社会发展热点难点问题的结合程度和前瞻意义，科技发明制作侧重考核作品的应用价值和转化前景。</w:t>
      </w:r>
    </w:p>
    <w:p w14:paraId="588580B5">
      <w:pPr>
        <w:spacing w:beforeLines="30" w:afterLines="30" w:line="560" w:lineRule="exact"/>
        <w:ind w:firstLine="632"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（七）作品自查</w:t>
      </w:r>
    </w:p>
    <w:p w14:paraId="0B45E381">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竞赛活动增加作品自查环节。申报单位签订承诺书（附件4），承诺作品符合竞赛活动申报作品的要求，接受竞赛组委会抽查。一旦发现不符合申报要求的作品，将取消参赛资格，该单位不得补报作品且单位总分为零。经核实有舞弊、抄袭、作假等的作品，将取消该单位参评集体奖项的资格。</w:t>
      </w:r>
    </w:p>
    <w:p w14:paraId="4A48FE43">
      <w:pPr>
        <w:autoSpaceDE w:val="0"/>
        <w:autoSpaceDN w:val="0"/>
        <w:adjustRightInd w:val="0"/>
        <w:snapToGrid w:val="0"/>
        <w:spacing w:beforeLines="50" w:afterLines="50" w:line="560" w:lineRule="exact"/>
        <w:ind w:firstLine="632" w:firstLineChars="200"/>
        <w:rPr>
          <w:rFonts w:hint="eastAsia"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14:textFill>
            <w14:solidFill>
              <w14:schemeClr w14:val="tx1"/>
            </w14:solidFill>
          </w14:textFill>
        </w:rPr>
        <w:t>三、竞赛流程及时间安排</w:t>
      </w:r>
    </w:p>
    <w:p w14:paraId="4E392088">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（一）学院竞赛阶段</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（即日-2025年3月21日）</w:t>
      </w:r>
    </w:p>
    <w:p w14:paraId="4B6E7860">
      <w:pPr>
        <w:pStyle w:val="5"/>
        <w:widowControl w:val="0"/>
        <w:overflowPunct w:val="0"/>
        <w:spacing w:before="0" w:beforeAutospacing="0" w:after="0" w:afterAutospacing="0" w:line="560" w:lineRule="exact"/>
        <w:ind w:firstLine="632" w:firstLineChars="200"/>
        <w:jc w:val="both"/>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各学院成立专家小组，指导参赛同学准备项目材料，并对学生报送的竞赛项目进行初选和评审。学院初赛后，参照学院学生规模，向学校推报优秀项目。</w:t>
      </w:r>
    </w:p>
    <w:p w14:paraId="255E3315">
      <w:pPr>
        <w:pStyle w:val="5"/>
        <w:widowControl w:val="0"/>
        <w:overflowPunct w:val="0"/>
        <w:spacing w:before="0" w:beforeAutospacing="0" w:after="0" w:afterAutospacing="0" w:line="560" w:lineRule="exact"/>
        <w:ind w:firstLine="632" w:firstLineChars="200"/>
        <w:jc w:val="both"/>
        <w:rPr>
          <w:rFonts w:hint="eastAsia" w:ascii="方正仿宋_GB2312" w:hAnsi="方正仿宋_GB2312" w:eastAsia="方正仿宋_GB2312" w:cs="方正仿宋_GB2312"/>
          <w:color w:val="000000" w:themeColor="text1"/>
          <w:kern w:val="2"/>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（1）各二级学院推报</w:t>
      </w:r>
      <w:r>
        <w:rPr>
          <w:rFonts w:hint="eastAsia" w:ascii="方正仿宋_GB2312" w:hAnsi="方正仿宋_GB2312" w:cs="方正仿宋_GB2312"/>
          <w:color w:val="000000" w:themeColor="text1"/>
          <w:kern w:val="2"/>
          <w:sz w:val="32"/>
          <w:szCs w:val="32"/>
          <w:lang w:val="en-US" w:eastAsia="zh-CN"/>
          <w14:textFill>
            <w14:solidFill>
              <w14:schemeClr w14:val="tx1"/>
            </w14:solidFill>
          </w14:textFill>
        </w:rPr>
        <w:t>2-3</w:t>
      </w: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个项目</w:t>
      </w:r>
      <w:r>
        <w:rPr>
          <w:rFonts w:hint="eastAsia" w:ascii="方正仿宋_GB2312" w:hAnsi="方正仿宋_GB2312" w:eastAsia="方正仿宋_GB2312" w:cs="方正仿宋_GB2312"/>
          <w:color w:val="000000" w:themeColor="text1"/>
          <w:kern w:val="2"/>
          <w:sz w:val="32"/>
          <w:szCs w:val="32"/>
          <w:lang w:eastAsia="zh-CN"/>
          <w14:textFill>
            <w14:solidFill>
              <w14:schemeClr w14:val="tx1"/>
            </w14:solidFill>
          </w14:textFill>
        </w:rPr>
        <w:t>。</w:t>
      </w:r>
    </w:p>
    <w:p w14:paraId="737CF449">
      <w:pPr>
        <w:pStyle w:val="5"/>
        <w:widowControl w:val="0"/>
        <w:overflowPunct w:val="0"/>
        <w:spacing w:before="0" w:beforeAutospacing="0" w:after="0" w:afterAutospacing="0" w:line="560" w:lineRule="exact"/>
        <w:ind w:firstLine="632" w:firstLineChars="200"/>
        <w:jc w:val="both"/>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（2）本届比赛开通“院长直推绿色通道”，特别优秀的项目可由学院院长直接推荐，不占用学院名额，择优推荐项目不超过2个（含2个）。</w:t>
      </w:r>
    </w:p>
    <w:p w14:paraId="6E8333D7">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（二）校赛作品申报</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cs="方正仿宋_GB2312"/>
          <w:color w:val="000000" w:themeColor="text1"/>
          <w:sz w:val="32"/>
          <w:szCs w:val="32"/>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月上旬）</w:t>
      </w:r>
    </w:p>
    <w:p w14:paraId="13E8E61C">
      <w:pPr>
        <w:spacing w:line="560" w:lineRule="exact"/>
        <w:ind w:firstLine="632" w:firstLineChars="200"/>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竞赛评审分为作品文本评审、公开答辩</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二</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个环节，评审具体时间安排如下：</w:t>
      </w:r>
    </w:p>
    <w:p w14:paraId="2B95A510">
      <w:pPr>
        <w:spacing w:line="560" w:lineRule="exact"/>
        <w:ind w:firstLine="632"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1.文本初审环节</w:t>
      </w:r>
    </w:p>
    <w:p w14:paraId="0147FF2C">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时间：</w:t>
      </w:r>
      <w:r>
        <w:rPr>
          <w:rFonts w:hint="eastAsia" w:ascii="方正仿宋_GB2312" w:hAnsi="方正仿宋_GB2312" w:cs="方正仿宋_GB2312"/>
          <w:color w:val="000000" w:themeColor="text1"/>
          <w:sz w:val="32"/>
          <w:szCs w:val="32"/>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cs="方正仿宋_GB2312"/>
          <w:color w:val="000000" w:themeColor="text1"/>
          <w:sz w:val="32"/>
          <w:szCs w:val="32"/>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p>
    <w:p w14:paraId="4F3D9196">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形式：文本初审环节采取文本盲评形式进行，主要评审竞赛</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项目文本论证、作品支撑材料、维普软件查重结果报告（查重率低于30%）等内容。</w:t>
      </w:r>
      <w:r>
        <w:rPr>
          <w:rFonts w:hint="eastAsia" w:ascii="方正仿宋_GB2312" w:hAnsi="方正仿宋_GB2312" w:eastAsia="方正仿宋_GB2312" w:cs="方正仿宋_GB2312"/>
          <w:color w:val="000000" w:themeColor="text1"/>
          <w:sz w:val="32"/>
          <w:szCs w:val="32"/>
          <w14:textFill>
            <w14:solidFill>
              <w14:schemeClr w14:val="tx1"/>
            </w14:solidFill>
          </w14:textFill>
        </w:rPr>
        <w:t>选取一定数量的优秀作品晋级复赛。</w:t>
      </w:r>
    </w:p>
    <w:p w14:paraId="775A32D4">
      <w:pPr>
        <w:spacing w:line="560" w:lineRule="exact"/>
        <w:ind w:firstLine="632" w:firstLineChars="200"/>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作品上交方式</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以学院</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部门</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为单位将参赛作品汇总表一份</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见附件</w:t>
      </w:r>
      <w:r>
        <w:rPr>
          <w:rFonts w:hint="eastAsia" w:ascii="方正仿宋_GB2312" w:hAnsi="方正仿宋_GB2312" w:eastAsia="方正仿宋_GB2312" w:cs="方正仿宋_GB2312"/>
          <w:color w:val="000000" w:themeColor="text1"/>
          <w:sz w:val="32"/>
          <w:szCs w:val="32"/>
          <w14:textFill>
            <w14:solidFill>
              <w14:schemeClr w14:val="tx1"/>
            </w14:solidFill>
          </w14:textFill>
        </w:rPr>
        <w:t>2）</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、申报书和作品各</w:t>
      </w:r>
      <w:r>
        <w:rPr>
          <w:rFonts w:hint="eastAsia" w:ascii="方正仿宋_GB2312" w:hAnsi="方正仿宋_GB2312" w:eastAsia="方正仿宋_GB2312" w:cs="方正仿宋_GB2312"/>
          <w:color w:val="000000" w:themeColor="text1"/>
          <w:sz w:val="32"/>
          <w:szCs w:val="32"/>
          <w14:textFill>
            <w14:solidFill>
              <w14:schemeClr w14:val="tx1"/>
            </w14:solidFill>
          </w14:textFill>
        </w:rPr>
        <w:t>3</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份</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其中</w:t>
      </w:r>
      <w:r>
        <w:rPr>
          <w:rFonts w:hint="eastAsia" w:ascii="方正仿宋_GB2312" w:hAnsi="方正仿宋_GB2312" w:eastAsia="方正仿宋_GB2312" w:cs="方正仿宋_GB2312"/>
          <w:color w:val="000000" w:themeColor="text1"/>
          <w:sz w:val="32"/>
          <w:szCs w:val="32"/>
          <w14:textFill>
            <w14:solidFill>
              <w14:schemeClr w14:val="tx1"/>
            </w14:solidFill>
          </w14:textFill>
        </w:rPr>
        <w:t>2</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份为盲评材料</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需省去单位名称、指导老师名称和参赛人员名称及其他透露个人或单位的信息</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、承诺书等相关纸质材料于</w:t>
      </w:r>
      <w:r>
        <w:rPr>
          <w:rFonts w:hint="eastAsia" w:ascii="方正仿宋_GB2312" w:hAnsi="方正仿宋_GB2312" w:cs="方正仿宋_GB2312"/>
          <w:color w:val="000000" w:themeColor="text1"/>
          <w:sz w:val="32"/>
          <w:szCs w:val="32"/>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月</w:t>
      </w:r>
      <w:r>
        <w:rPr>
          <w:rFonts w:hint="eastAsia" w:ascii="方正仿宋_GB2312" w:hAnsi="方正仿宋_GB2312" w:cs="方正仿宋_GB2312"/>
          <w:color w:val="000000" w:themeColor="text1"/>
          <w:sz w:val="32"/>
          <w:szCs w:val="32"/>
          <w:lang w:val="en-US" w:eastAsia="zh-CN"/>
          <w14:textFill>
            <w14:solidFill>
              <w14:schemeClr w14:val="tx1"/>
            </w14:solidFill>
          </w14:textFill>
        </w:rPr>
        <w:t>8</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日前交至校团委</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cs="方正仿宋_GB2312"/>
          <w:color w:val="000000" w:themeColor="text1"/>
          <w:sz w:val="32"/>
          <w:szCs w:val="32"/>
          <w:lang w:val="en-US" w:eastAsia="zh-CN"/>
          <w14:textFill>
            <w14:solidFill>
              <w14:schemeClr w14:val="tx1"/>
            </w14:solidFill>
          </w14:textFill>
        </w:rPr>
        <w:t>11栋101</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办公室</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电子文档</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汇总表</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word</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版、申报书</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word</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版、作品完整版和盲评版各一份</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word</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或</w:t>
      </w:r>
      <w:r>
        <w:rPr>
          <w:rFonts w:hint="eastAsia" w:ascii="方正仿宋_GB2312" w:hAnsi="方正仿宋_GB2312" w:eastAsia="方正仿宋_GB2312" w:cs="方正仿宋_GB2312"/>
          <w:color w:val="000000" w:themeColor="text1"/>
          <w:sz w:val="32"/>
          <w:szCs w:val="32"/>
          <w14:textFill>
            <w14:solidFill>
              <w14:schemeClr w14:val="tx1"/>
            </w14:solidFill>
          </w14:textFill>
        </w:rPr>
        <w:t>pdf</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版、承诺书盖</w:t>
      </w:r>
      <w:r>
        <w:rPr>
          <w:rFonts w:hint="eastAsia" w:ascii="方正仿宋_GB2312" w:hAnsi="方正仿宋_GB2312" w:eastAsia="方正仿宋_GB2312" w:cs="方正仿宋_GB2312"/>
          <w:color w:val="000000" w:themeColor="text1"/>
          <w:sz w:val="32"/>
          <w:szCs w:val="32"/>
          <w14:textFill>
            <w14:solidFill>
              <w14:schemeClr w14:val="tx1"/>
            </w14:solidFill>
          </w14:textFill>
        </w:rPr>
        <w:t>pdf</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版</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发送至</w:t>
      </w:r>
      <w:r>
        <w:rPr>
          <w:rFonts w:hint="eastAsia" w:ascii="方正仿宋_GB2312" w:hAnsi="方正仿宋_GB2312" w:cs="方正仿宋_GB2312"/>
          <w:color w:val="000000" w:themeColor="text1"/>
          <w:sz w:val="32"/>
          <w:szCs w:val="32"/>
          <w:lang w:val="en-US" w:eastAsia="zh-CN"/>
          <w14:textFill>
            <w14:solidFill>
              <w14:schemeClr w14:val="tx1"/>
            </w14:solidFill>
          </w14:textFill>
        </w:rPr>
        <w:t>601391311</w:t>
      </w:r>
      <w:r>
        <w:rPr>
          <w:rFonts w:hint="eastAsia" w:ascii="方正仿宋_GB2312" w:hAnsi="方正仿宋_GB2312" w:eastAsia="方正仿宋_GB2312" w:cs="方正仿宋_GB2312"/>
          <w:color w:val="000000" w:themeColor="text1"/>
          <w:sz w:val="32"/>
          <w:szCs w:val="32"/>
          <w14:textFill>
            <w14:solidFill>
              <w14:schemeClr w14:val="tx1"/>
            </w14:solidFill>
          </w14:textFill>
        </w:rPr>
        <w:t>@qq.com</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。申报书和作品要求分开装订。</w:t>
      </w:r>
    </w:p>
    <w:p w14:paraId="04FA3494">
      <w:pPr>
        <w:spacing w:line="560" w:lineRule="exact"/>
        <w:ind w:firstLine="632"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2.公开答辩环节</w:t>
      </w:r>
    </w:p>
    <w:p w14:paraId="7FCA4638">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时间：</w:t>
      </w:r>
      <w:r>
        <w:rPr>
          <w:rFonts w:hint="eastAsia" w:ascii="方正仿宋_GB2312" w:hAnsi="方正仿宋_GB2312" w:cs="方正仿宋_GB2312"/>
          <w:color w:val="000000" w:themeColor="text1"/>
          <w:sz w:val="32"/>
          <w:szCs w:val="32"/>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月14日—15日（暂定）</w:t>
      </w:r>
    </w:p>
    <w:p w14:paraId="6E0E9A04">
      <w:pPr>
        <w:spacing w:line="560" w:lineRule="exact"/>
        <w:ind w:firstLine="632" w:firstLineChars="20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地点：</w:t>
      </w:r>
      <w:r>
        <w:rPr>
          <w:rFonts w:hint="eastAsia" w:ascii="方正仿宋_GB2312" w:hAnsi="方正仿宋_GB2312" w:cs="方正仿宋_GB2312"/>
          <w:color w:val="000000" w:themeColor="text1"/>
          <w:sz w:val="32"/>
          <w:szCs w:val="32"/>
          <w:lang w:val="en-US" w:eastAsia="zh-CN"/>
          <w14:textFill>
            <w14:solidFill>
              <w14:schemeClr w14:val="tx1"/>
            </w14:solidFill>
          </w14:textFill>
        </w:rPr>
        <w:t>12栋A01会议室</w:t>
      </w:r>
    </w:p>
    <w:p w14:paraId="42C31B05">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形式：</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组织有关专家成立评审小组，选手按照“</w:t>
      </w:r>
      <w:r>
        <w:rPr>
          <w:rFonts w:hint="eastAsia" w:ascii="方正仿宋_GB2312" w:hAnsi="方正仿宋_GB2312" w:eastAsia="方正仿宋_GB2312" w:cs="方正仿宋_GB2312"/>
          <w:color w:val="000000" w:themeColor="text1"/>
          <w:sz w:val="32"/>
          <w:szCs w:val="32"/>
          <w14:textFill>
            <w14:solidFill>
              <w14:schemeClr w14:val="tx1"/>
            </w14:solidFill>
          </w14:textFill>
        </w:rPr>
        <w:t>5</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分钟</w:t>
      </w:r>
      <w:r>
        <w:rPr>
          <w:rFonts w:hint="eastAsia" w:ascii="方正仿宋_GB2312" w:hAnsi="方正仿宋_GB2312" w:eastAsia="方正仿宋_GB2312" w:cs="方正仿宋_GB2312"/>
          <w:color w:val="000000" w:themeColor="text1"/>
          <w:sz w:val="32"/>
          <w:szCs w:val="32"/>
          <w14:textFill>
            <w14:solidFill>
              <w14:schemeClr w14:val="tx1"/>
            </w14:solidFill>
          </w14:textFill>
        </w:rPr>
        <w:t>PPT</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汇报+</w:t>
      </w:r>
      <w:r>
        <w:rPr>
          <w:rFonts w:hint="eastAsia" w:ascii="方正仿宋_GB2312" w:hAnsi="方正仿宋_GB2312" w:eastAsia="方正仿宋_GB2312" w:cs="方正仿宋_GB2312"/>
          <w:color w:val="000000" w:themeColor="text1"/>
          <w:sz w:val="32"/>
          <w:szCs w:val="32"/>
          <w14:textFill>
            <w14:solidFill>
              <w14:schemeClr w14:val="tx1"/>
            </w14:solidFill>
          </w14:textFill>
        </w:rPr>
        <w:t>6</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分钟答辩及点评”的形式现场答辩，依得分排名作为最终成绩予以评奖，评选出优秀项目。</w:t>
      </w:r>
    </w:p>
    <w:p w14:paraId="1A5B5300">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（三）省赛报备</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cs="方正仿宋_GB2312"/>
          <w:color w:val="000000" w:themeColor="text1"/>
          <w:sz w:val="32"/>
          <w:szCs w:val="32"/>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cs="方正仿宋_GB2312"/>
          <w:color w:val="000000" w:themeColor="text1"/>
          <w:sz w:val="32"/>
          <w:szCs w:val="32"/>
          <w:lang w:val="en-US" w:eastAsia="zh-CN"/>
          <w14:textFill>
            <w14:solidFill>
              <w14:schemeClr w14:val="tx1"/>
            </w14:solidFill>
          </w14:textFill>
        </w:rPr>
        <w:t>25</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日前）</w:t>
      </w:r>
    </w:p>
    <w:p w14:paraId="60E43F68">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根据校赛评审结果，根据省赛要求选择若干作品进入“挑战杯”省赛优化，并报备参加省赛。</w:t>
      </w:r>
    </w:p>
    <w:p w14:paraId="213A5E78">
      <w:pPr>
        <w:autoSpaceDE w:val="0"/>
        <w:autoSpaceDN w:val="0"/>
        <w:adjustRightInd w:val="0"/>
        <w:snapToGrid w:val="0"/>
        <w:spacing w:beforeLines="50" w:afterLines="50" w:line="560" w:lineRule="exact"/>
        <w:ind w:firstLine="632" w:firstLineChars="200"/>
        <w:rPr>
          <w:rFonts w:hint="eastAsia"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14:textFill>
            <w14:solidFill>
              <w14:schemeClr w14:val="tx1"/>
            </w14:solidFill>
          </w14:textFill>
        </w:rPr>
        <w:t>四、奖项设置</w:t>
      </w:r>
    </w:p>
    <w:p w14:paraId="4CFCECB2">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比赛按照三个类别（自然科学类学术论文、哲学社会科学类社会调查报告、科技发明制作分设一等奖一名、二等奖两名、三等奖三名和优秀指导老师奖。（注：优秀获奖作品按照国赛、省赛文件要求，参考评委专家的推荐意见参加省赛）</w:t>
      </w:r>
    </w:p>
    <w:p w14:paraId="05093FC0">
      <w:pPr>
        <w:autoSpaceDE w:val="0"/>
        <w:autoSpaceDN w:val="0"/>
        <w:adjustRightInd w:val="0"/>
        <w:snapToGrid w:val="0"/>
        <w:spacing w:beforeLines="50" w:afterLines="50" w:line="560" w:lineRule="exact"/>
        <w:ind w:firstLine="632" w:firstLineChars="200"/>
        <w:rPr>
          <w:rFonts w:hint="eastAsia"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14:textFill>
            <w14:solidFill>
              <w14:schemeClr w14:val="tx1"/>
            </w14:solidFill>
          </w14:textFill>
        </w:rPr>
        <w:t>五、工作要求</w:t>
      </w:r>
    </w:p>
    <w:p w14:paraId="6CDE5FAF">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（一）高度重视，加强领导。</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“挑战杯”竞赛是为适应全面推进素质教育和深化教育改革要求开展的一项重要活动，是培养学生创新精神、提高学生科研能力的重要手段和促进良好校风学风建设、营造浓厚校园学术氛围的有效载体，</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各</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学院（部门）要高度重视该项活动，积极做好宣传发动和参赛的各项组织工作。</w:t>
      </w:r>
    </w:p>
    <w:p w14:paraId="68DD4C31">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（二）广泛宣传，扩大影响。</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各学院（部门）要对竞赛活动的宗旨和参赛内容进行积极的宣传，扩大竞赛活动的影响，使竞赛活动深入人心；要坚持竞赛活动的导向性、示范性和群众性原则，加强对学生进行科学知识、科学方法、科学思想、科学精神的教育，全面提高学生的创新能力。</w:t>
      </w:r>
    </w:p>
    <w:p w14:paraId="604B4BEB">
      <w:pPr>
        <w:spacing w:line="560" w:lineRule="exact"/>
        <w:ind w:firstLine="632"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（三）精心组织，夯实基础。</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各学院（部门）要充分调动学生的参与积极性，积极争取专家学者的支持和指导，充分整合资源，形成合力；要主动向参赛学生提供必要的物质和技术支持；要严格按照竞赛要求进行资格及形式审查，认真组织好本单位申报作品的选拔和评审工作，并以此为契机进一步夯实竞赛活动的群众基础，营造浓厚的校园科研学术氛围。</w:t>
      </w:r>
    </w:p>
    <w:p w14:paraId="2A576188">
      <w:pPr>
        <w:autoSpaceDE w:val="0"/>
        <w:autoSpaceDN w:val="0"/>
        <w:adjustRightInd w:val="0"/>
        <w:snapToGrid w:val="0"/>
        <w:spacing w:line="240" w:lineRule="exact"/>
        <w:ind w:firstLine="632" w:firstLineChars="200"/>
        <w:rPr>
          <w:rFonts w:hint="eastAsia" w:ascii="方正仿宋_GB2312" w:hAnsi="方正仿宋_GB2312" w:eastAsia="方正仿宋_GB2312" w:cs="方正仿宋_GB2312"/>
          <w:b/>
          <w:bCs/>
          <w:color w:val="000000"/>
          <w:kern w:val="0"/>
          <w:sz w:val="32"/>
          <w:szCs w:val="32"/>
        </w:rPr>
      </w:pPr>
    </w:p>
    <w:p w14:paraId="6472A799">
      <w:pPr>
        <w:autoSpaceDE w:val="0"/>
        <w:autoSpaceDN w:val="0"/>
        <w:adjustRightInd w:val="0"/>
        <w:snapToGrid w:val="0"/>
        <w:spacing w:line="240" w:lineRule="exact"/>
        <w:ind w:firstLine="632" w:firstLineChars="200"/>
        <w:rPr>
          <w:rFonts w:hint="eastAsia" w:ascii="方正仿宋_GB2312" w:hAnsi="方正仿宋_GB2312" w:eastAsia="方正仿宋_GB2312" w:cs="方正仿宋_GB2312"/>
          <w:b/>
          <w:bCs/>
          <w:color w:val="000000"/>
          <w:kern w:val="0"/>
          <w:sz w:val="32"/>
          <w:szCs w:val="32"/>
        </w:rPr>
      </w:pPr>
    </w:p>
    <w:p w14:paraId="7A1D35BA">
      <w:pPr>
        <w:autoSpaceDE w:val="0"/>
        <w:autoSpaceDN w:val="0"/>
        <w:adjustRightInd w:val="0"/>
        <w:snapToGrid w:val="0"/>
        <w:spacing w:line="240" w:lineRule="exact"/>
        <w:rPr>
          <w:rFonts w:hint="eastAsia" w:ascii="方正仿宋_GB2312" w:hAnsi="方正仿宋_GB2312" w:eastAsia="方正仿宋_GB2312" w:cs="方正仿宋_GB2312"/>
          <w:b/>
          <w:bCs/>
          <w:color w:val="000000"/>
          <w:kern w:val="0"/>
          <w:sz w:val="32"/>
          <w:szCs w:val="32"/>
        </w:rPr>
      </w:pPr>
    </w:p>
    <w:p w14:paraId="670B56A1">
      <w:pPr>
        <w:autoSpaceDE w:val="0"/>
        <w:autoSpaceDN w:val="0"/>
        <w:adjustRightInd w:val="0"/>
        <w:snapToGrid w:val="0"/>
        <w:spacing w:line="240" w:lineRule="exact"/>
        <w:ind w:firstLine="632" w:firstLineChars="200"/>
        <w:rPr>
          <w:rFonts w:hint="eastAsia" w:ascii="方正仿宋_GB2312" w:hAnsi="方正仿宋_GB2312" w:eastAsia="方正仿宋_GB2312" w:cs="方正仿宋_GB2312"/>
          <w:b/>
          <w:bCs/>
          <w:color w:val="000000"/>
          <w:kern w:val="0"/>
          <w:sz w:val="32"/>
          <w:szCs w:val="32"/>
        </w:rPr>
      </w:pPr>
    </w:p>
    <w:p w14:paraId="17B39DD3">
      <w:pPr>
        <w:autoSpaceDE w:val="0"/>
        <w:autoSpaceDN w:val="0"/>
        <w:adjustRightInd w:val="0"/>
        <w:snapToGrid w:val="0"/>
        <w:spacing w:line="520" w:lineRule="exac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b/>
          <w:bCs/>
          <w:color w:val="000000"/>
          <w:kern w:val="0"/>
          <w:sz w:val="32"/>
          <w:szCs w:val="32"/>
        </w:rPr>
        <w:t>附件：</w:t>
      </w:r>
    </w:p>
    <w:p w14:paraId="398E9DD5">
      <w:pPr>
        <w:spacing w:line="460" w:lineRule="exact"/>
        <w:ind w:firstLine="536" w:firstLineChars="200"/>
        <w:rPr>
          <w:rFonts w:hint="eastAsia" w:ascii="方正仿宋_GB2312" w:hAnsi="方正仿宋_GB2312" w:eastAsia="方正仿宋_GB2312" w:cs="方正仿宋_GB2312"/>
          <w:color w:val="000000"/>
          <w:w w:val="85"/>
          <w:sz w:val="32"/>
          <w:szCs w:val="32"/>
        </w:rPr>
      </w:pPr>
      <w:r>
        <w:rPr>
          <w:rFonts w:hint="eastAsia" w:ascii="方正仿宋_GB2312" w:hAnsi="方正仿宋_GB2312" w:eastAsia="方正仿宋_GB2312" w:cs="方正仿宋_GB2312"/>
          <w:color w:val="000000"/>
          <w:w w:val="85"/>
          <w:sz w:val="32"/>
          <w:szCs w:val="32"/>
        </w:rPr>
        <w:t>1.《2025年“挑战杯”湖南省大学生课外学术科技作品竞赛</w:t>
      </w:r>
      <w:r>
        <w:rPr>
          <w:rFonts w:hint="eastAsia" w:ascii="方正仿宋_GB2312" w:hAnsi="方正仿宋_GB2312" w:cs="方正仿宋_GB2312"/>
          <w:color w:val="000000"/>
          <w:w w:val="85"/>
          <w:sz w:val="32"/>
          <w:szCs w:val="32"/>
          <w:lang w:eastAsia="zh-CN"/>
        </w:rPr>
        <w:t>衡阳科技职业学院</w:t>
      </w:r>
      <w:r>
        <w:rPr>
          <w:rFonts w:hint="eastAsia" w:ascii="方正仿宋_GB2312" w:hAnsi="方正仿宋_GB2312" w:eastAsia="方正仿宋_GB2312" w:cs="方正仿宋_GB2312"/>
          <w:color w:val="000000"/>
          <w:w w:val="85"/>
          <w:sz w:val="32"/>
          <w:szCs w:val="32"/>
        </w:rPr>
        <w:t>校内选拔赛作品申报书》</w:t>
      </w:r>
    </w:p>
    <w:p w14:paraId="304E18D9">
      <w:pPr>
        <w:spacing w:line="460" w:lineRule="exact"/>
        <w:ind w:firstLine="536" w:firstLineChars="200"/>
        <w:rPr>
          <w:rFonts w:hint="eastAsia" w:ascii="方正仿宋_GB2312" w:hAnsi="方正仿宋_GB2312" w:eastAsia="方正仿宋_GB2312" w:cs="方正仿宋_GB2312"/>
          <w:color w:val="000000"/>
          <w:w w:val="85"/>
          <w:sz w:val="32"/>
          <w:szCs w:val="32"/>
        </w:rPr>
      </w:pPr>
      <w:r>
        <w:rPr>
          <w:rFonts w:hint="eastAsia" w:ascii="方正仿宋_GB2312" w:hAnsi="方正仿宋_GB2312" w:eastAsia="方正仿宋_GB2312" w:cs="方正仿宋_GB2312"/>
          <w:color w:val="000000"/>
          <w:w w:val="85"/>
          <w:sz w:val="32"/>
          <w:szCs w:val="32"/>
        </w:rPr>
        <w:t>2.《2025年“挑战杯”湖南省大学生课外学术科技作品竞赛</w:t>
      </w:r>
      <w:r>
        <w:rPr>
          <w:rFonts w:hint="eastAsia" w:ascii="方正仿宋_GB2312" w:hAnsi="方正仿宋_GB2312" w:cs="方正仿宋_GB2312"/>
          <w:color w:val="000000"/>
          <w:w w:val="85"/>
          <w:sz w:val="32"/>
          <w:szCs w:val="32"/>
          <w:lang w:eastAsia="zh-CN"/>
        </w:rPr>
        <w:t>衡阳科技职业学院</w:t>
      </w:r>
      <w:r>
        <w:rPr>
          <w:rFonts w:hint="eastAsia" w:ascii="方正仿宋_GB2312" w:hAnsi="方正仿宋_GB2312" w:eastAsia="方正仿宋_GB2312" w:cs="方正仿宋_GB2312"/>
          <w:color w:val="000000"/>
          <w:w w:val="85"/>
          <w:sz w:val="32"/>
          <w:szCs w:val="32"/>
        </w:rPr>
        <w:t>校内选拔赛作品汇总表》</w:t>
      </w:r>
    </w:p>
    <w:p w14:paraId="2D130A0B">
      <w:pPr>
        <w:spacing w:line="460" w:lineRule="exact"/>
        <w:ind w:firstLine="536" w:firstLineChars="200"/>
        <w:rPr>
          <w:rFonts w:hint="eastAsia" w:ascii="方正仿宋_GB2312" w:hAnsi="方正仿宋_GB2312" w:eastAsia="方正仿宋_GB2312" w:cs="方正仿宋_GB2312"/>
          <w:color w:val="000000"/>
          <w:w w:val="85"/>
          <w:sz w:val="32"/>
          <w:szCs w:val="32"/>
        </w:rPr>
      </w:pPr>
      <w:r>
        <w:rPr>
          <w:rFonts w:hint="eastAsia" w:ascii="方正仿宋_GB2312" w:hAnsi="方正仿宋_GB2312" w:eastAsia="方正仿宋_GB2312" w:cs="方正仿宋_GB2312"/>
          <w:color w:val="000000"/>
          <w:w w:val="85"/>
          <w:sz w:val="32"/>
          <w:szCs w:val="32"/>
        </w:rPr>
        <w:t>3.《2025年“挑战杯”湖南省大学生课外学术科技作品竞赛</w:t>
      </w:r>
      <w:r>
        <w:rPr>
          <w:rFonts w:hint="eastAsia" w:ascii="方正仿宋_GB2312" w:hAnsi="方正仿宋_GB2312" w:cs="方正仿宋_GB2312"/>
          <w:color w:val="000000"/>
          <w:w w:val="85"/>
          <w:sz w:val="32"/>
          <w:szCs w:val="32"/>
          <w:lang w:eastAsia="zh-CN"/>
        </w:rPr>
        <w:t>衡阳科技职业学院</w:t>
      </w:r>
      <w:r>
        <w:rPr>
          <w:rFonts w:hint="eastAsia" w:ascii="方正仿宋_GB2312" w:hAnsi="方正仿宋_GB2312" w:eastAsia="方正仿宋_GB2312" w:cs="方正仿宋_GB2312"/>
          <w:color w:val="000000"/>
          <w:w w:val="85"/>
          <w:sz w:val="32"/>
          <w:szCs w:val="32"/>
        </w:rPr>
        <w:t>校内选拔赛作品申报书（盲评）》</w:t>
      </w:r>
    </w:p>
    <w:p w14:paraId="3154703C">
      <w:pPr>
        <w:spacing w:line="460" w:lineRule="exact"/>
        <w:ind w:firstLine="536" w:firstLineChars="200"/>
        <w:rPr>
          <w:rFonts w:hint="eastAsia" w:ascii="方正仿宋_GB2312" w:hAnsi="方正仿宋_GB2312" w:eastAsia="方正仿宋_GB2312" w:cs="方正仿宋_GB2312"/>
          <w:color w:val="000000"/>
          <w:w w:val="85"/>
          <w:sz w:val="32"/>
          <w:szCs w:val="32"/>
        </w:rPr>
      </w:pPr>
      <w:r>
        <w:rPr>
          <w:rFonts w:hint="eastAsia" w:ascii="方正仿宋_GB2312" w:hAnsi="方正仿宋_GB2312" w:eastAsia="方正仿宋_GB2312" w:cs="方正仿宋_GB2312"/>
          <w:color w:val="000000"/>
          <w:w w:val="85"/>
          <w:sz w:val="32"/>
          <w:szCs w:val="32"/>
        </w:rPr>
        <w:t>4.《2025年“挑战杯”湖南省大学生课外学术科技作品竞赛</w:t>
      </w:r>
      <w:r>
        <w:rPr>
          <w:rFonts w:hint="eastAsia" w:ascii="方正仿宋_GB2312" w:hAnsi="方正仿宋_GB2312" w:cs="方正仿宋_GB2312"/>
          <w:color w:val="000000"/>
          <w:w w:val="85"/>
          <w:sz w:val="32"/>
          <w:szCs w:val="32"/>
          <w:lang w:eastAsia="zh-CN"/>
        </w:rPr>
        <w:t>衡阳科技职业学院</w:t>
      </w:r>
      <w:r>
        <w:rPr>
          <w:rFonts w:hint="eastAsia" w:ascii="方正仿宋_GB2312" w:hAnsi="方正仿宋_GB2312" w:eastAsia="方正仿宋_GB2312" w:cs="方正仿宋_GB2312"/>
          <w:color w:val="000000"/>
          <w:w w:val="85"/>
          <w:sz w:val="32"/>
          <w:szCs w:val="32"/>
        </w:rPr>
        <w:t>校内选拔赛作品承诺书（个人）》</w:t>
      </w:r>
    </w:p>
    <w:p w14:paraId="2ABD9465">
      <w:pPr>
        <w:spacing w:line="460" w:lineRule="exact"/>
        <w:ind w:firstLine="536" w:firstLineChars="200"/>
        <w:rPr>
          <w:rFonts w:hint="eastAsia" w:ascii="方正仿宋_GB2312" w:hAnsi="方正仿宋_GB2312" w:eastAsia="方正仿宋_GB2312" w:cs="方正仿宋_GB2312"/>
          <w:color w:val="000000"/>
          <w:w w:val="85"/>
          <w:sz w:val="32"/>
          <w:szCs w:val="32"/>
        </w:rPr>
      </w:pPr>
      <w:r>
        <w:rPr>
          <w:rFonts w:hint="eastAsia" w:ascii="方正仿宋_GB2312" w:hAnsi="方正仿宋_GB2312" w:eastAsia="方正仿宋_GB2312" w:cs="方正仿宋_GB2312"/>
          <w:color w:val="000000"/>
          <w:w w:val="85"/>
          <w:sz w:val="32"/>
          <w:szCs w:val="32"/>
        </w:rPr>
        <w:t>5.第十五届“挑战杯”湖南省大学生课外学术科技作品竞赛章程和评审规则</w:t>
      </w:r>
    </w:p>
    <w:p w14:paraId="47410D16">
      <w:pPr>
        <w:spacing w:line="460" w:lineRule="exact"/>
        <w:rPr>
          <w:rFonts w:hint="eastAsia" w:ascii="方正仿宋_GB2312" w:hAnsi="方正仿宋_GB2312" w:eastAsia="方正仿宋_GB2312" w:cs="方正仿宋_GB2312"/>
          <w:color w:val="000000"/>
          <w:w w:val="85"/>
          <w:sz w:val="32"/>
          <w:szCs w:val="32"/>
        </w:rPr>
      </w:pPr>
    </w:p>
    <w:p w14:paraId="7B3CA37D">
      <w:pPr>
        <w:spacing w:line="460" w:lineRule="exact"/>
        <w:ind w:firstLine="536" w:firstLineChars="200"/>
        <w:rPr>
          <w:rFonts w:hint="eastAsia" w:ascii="方正仿宋_GB2312" w:hAnsi="方正仿宋_GB2312" w:eastAsia="方正仿宋_GB2312" w:cs="方正仿宋_GB2312"/>
          <w:color w:val="000000"/>
          <w:w w:val="85"/>
          <w:sz w:val="32"/>
          <w:szCs w:val="32"/>
        </w:rPr>
      </w:pPr>
    </w:p>
    <w:p w14:paraId="230F1E28">
      <w:pPr>
        <w:spacing w:line="460" w:lineRule="exact"/>
        <w:ind w:firstLine="536" w:firstLineChars="200"/>
        <w:rPr>
          <w:rFonts w:hint="eastAsia" w:ascii="方正仿宋_GB2312" w:hAnsi="方正仿宋_GB2312" w:eastAsia="方正仿宋_GB2312" w:cs="方正仿宋_GB2312"/>
          <w:color w:val="000000"/>
          <w:w w:val="85"/>
          <w:sz w:val="32"/>
          <w:szCs w:val="32"/>
        </w:rPr>
      </w:pPr>
      <w:bookmarkStart w:id="0" w:name="_GoBack"/>
      <w:bookmarkEnd w:id="0"/>
    </w:p>
    <w:p w14:paraId="18BBF8A7">
      <w:pPr>
        <w:adjustRightInd w:val="0"/>
        <w:snapToGrid w:val="0"/>
        <w:spacing w:line="480" w:lineRule="exact"/>
        <w:jc w:val="right"/>
        <w:rPr>
          <w:rFonts w:hint="default" w:ascii="方正仿宋_GB2312" w:hAnsi="方正仿宋_GB2312" w:eastAsia="方正仿宋_GB2312" w:cs="方正仿宋_GB2312"/>
          <w:color w:val="000000"/>
          <w:sz w:val="32"/>
          <w:szCs w:val="32"/>
          <w:lang w:val="en-US" w:eastAsia="zh-CN"/>
        </w:rPr>
      </w:pPr>
      <w:r>
        <w:rPr>
          <w:rFonts w:hint="eastAsia" w:ascii="方正仿宋_GB2312" w:hAnsi="方正仿宋_GB2312" w:cs="方正仿宋_GB2312"/>
          <w:color w:val="000000"/>
          <w:sz w:val="32"/>
          <w:szCs w:val="32"/>
          <w:lang w:val="en-US" w:eastAsia="zh-CN"/>
        </w:rPr>
        <w:t>共青团</w:t>
      </w:r>
      <w:r>
        <w:rPr>
          <w:rFonts w:hint="eastAsia" w:ascii="方正仿宋_GB2312" w:hAnsi="方正仿宋_GB2312" w:cs="方正仿宋_GB2312"/>
          <w:color w:val="000000"/>
          <w:sz w:val="32"/>
          <w:szCs w:val="32"/>
          <w:lang w:eastAsia="zh-CN"/>
        </w:rPr>
        <w:t>衡阳科技职业学院</w:t>
      </w:r>
      <w:r>
        <w:rPr>
          <w:rFonts w:hint="eastAsia" w:ascii="方正仿宋_GB2312" w:hAnsi="方正仿宋_GB2312" w:cs="方正仿宋_GB2312"/>
          <w:color w:val="000000"/>
          <w:sz w:val="32"/>
          <w:szCs w:val="32"/>
          <w:lang w:val="en-US" w:eastAsia="zh-CN"/>
        </w:rPr>
        <w:t>委员会</w:t>
      </w:r>
    </w:p>
    <w:p w14:paraId="3B2B020A">
      <w:pPr>
        <w:spacing w:line="460" w:lineRule="exact"/>
        <w:ind w:firstLine="536" w:firstLineChars="200"/>
        <w:jc w:val="center"/>
        <w:rPr>
          <w:rFonts w:hint="eastAsia" w:ascii="方正仿宋_GB2312" w:hAnsi="方正仿宋_GB2312" w:eastAsia="方正仿宋_GB2312" w:cs="方正仿宋_GB2312"/>
          <w:color w:val="000000"/>
          <w:w w:val="85"/>
          <w:sz w:val="32"/>
          <w:szCs w:val="32"/>
        </w:rPr>
      </w:pPr>
      <w:r>
        <w:rPr>
          <w:rFonts w:hint="eastAsia" w:ascii="方正仿宋_GB2312" w:hAnsi="方正仿宋_GB2312" w:eastAsia="方正仿宋_GB2312" w:cs="方正仿宋_GB2312"/>
          <w:color w:val="000000"/>
          <w:w w:val="85"/>
          <w:sz w:val="32"/>
          <w:szCs w:val="32"/>
          <w:lang w:val="en-US" w:eastAsia="zh-CN"/>
        </w:rPr>
        <w:t xml:space="preserve">                                 </w:t>
      </w:r>
      <w:r>
        <w:rPr>
          <w:rFonts w:hint="eastAsia" w:ascii="方正仿宋_GB2312" w:hAnsi="方正仿宋_GB2312" w:eastAsia="方正仿宋_GB2312" w:cs="方正仿宋_GB2312"/>
          <w:color w:val="000000"/>
          <w:w w:val="85"/>
          <w:sz w:val="32"/>
          <w:szCs w:val="32"/>
        </w:rPr>
        <w:t>2025年</w:t>
      </w:r>
      <w:r>
        <w:rPr>
          <w:rFonts w:hint="eastAsia" w:ascii="方正仿宋_GB2312" w:hAnsi="方正仿宋_GB2312" w:cs="方正仿宋_GB2312"/>
          <w:color w:val="000000"/>
          <w:w w:val="85"/>
          <w:sz w:val="32"/>
          <w:szCs w:val="32"/>
          <w:lang w:val="en-US" w:eastAsia="zh-CN"/>
        </w:rPr>
        <w:t>4</w:t>
      </w:r>
      <w:r>
        <w:rPr>
          <w:rFonts w:hint="eastAsia" w:ascii="方正仿宋_GB2312" w:hAnsi="方正仿宋_GB2312" w:eastAsia="方正仿宋_GB2312" w:cs="方正仿宋_GB2312"/>
          <w:color w:val="000000"/>
          <w:w w:val="85"/>
          <w:sz w:val="32"/>
          <w:szCs w:val="32"/>
        </w:rPr>
        <w:t>月</w:t>
      </w:r>
      <w:r>
        <w:rPr>
          <w:rFonts w:hint="eastAsia" w:ascii="方正仿宋_GB2312" w:hAnsi="方正仿宋_GB2312" w:cs="方正仿宋_GB2312"/>
          <w:color w:val="000000"/>
          <w:w w:val="85"/>
          <w:sz w:val="32"/>
          <w:szCs w:val="32"/>
          <w:lang w:val="en-US" w:eastAsia="zh-CN"/>
        </w:rPr>
        <w:t>16</w:t>
      </w:r>
      <w:r>
        <w:rPr>
          <w:rFonts w:hint="eastAsia" w:ascii="方正仿宋_GB2312" w:hAnsi="方正仿宋_GB2312" w:eastAsia="方正仿宋_GB2312" w:cs="方正仿宋_GB2312"/>
          <w:color w:val="000000"/>
          <w:w w:val="85"/>
          <w:sz w:val="32"/>
          <w:szCs w:val="32"/>
        </w:rPr>
        <w:t>日</w:t>
      </w:r>
    </w:p>
    <w:p w14:paraId="4F6A0CE3">
      <w:pPr>
        <w:pStyle w:val="2"/>
        <w:spacing w:line="520" w:lineRule="exact"/>
        <w:jc w:val="both"/>
        <w:rPr>
          <w:rFonts w:hint="eastAsia" w:ascii="方正仿宋_GB2312" w:hAnsi="方正仿宋_GB2312" w:eastAsia="方正仿宋_GB2312" w:cs="方正仿宋_GB2312"/>
          <w:color w:val="000000"/>
          <w:sz w:val="32"/>
          <w:szCs w:val="32"/>
        </w:rPr>
      </w:pPr>
    </w:p>
    <w:p w14:paraId="040EF615"/>
    <w:sectPr>
      <w:footerReference r:id="rId3" w:type="default"/>
      <w:pgSz w:w="11906" w:h="16838"/>
      <w:pgMar w:top="2098" w:right="1474" w:bottom="198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62A277-B1A2-4294-A1A9-0513E54377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077E025-BF10-44ED-8E6D-C01BB672E54D}"/>
  </w:font>
  <w:font w:name="方正仿宋_GB2312">
    <w:panose1 w:val="02000000000000000000"/>
    <w:charset w:val="86"/>
    <w:family w:val="auto"/>
    <w:pitch w:val="default"/>
    <w:sig w:usb0="A00002BF" w:usb1="184F6CFA" w:usb2="00000012" w:usb3="00000000" w:csb0="00040001" w:csb1="00000000"/>
    <w:embedRegular r:id="rId3" w:fontKey="{676493CE-2BAE-4E43-8188-BFA5E45C92EC}"/>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embedRegular r:id="rId4" w:fontKey="{5C227223-5D49-46F2-A369-5AACBF4B8A95}"/>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CAF5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813F84">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2813F84">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B0FEE"/>
    <w:rsid w:val="0BE314C8"/>
    <w:rsid w:val="6632042C"/>
    <w:rsid w:val="75352286"/>
    <w:rsid w:val="7C550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2312" w:asciiTheme="minorAscii" w:hAnsiTheme="minorAscii"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0"/>
      <w:szCs w:val="30"/>
      <w:lang w:val="en-US" w:eastAsia="en-US" w:bidi="ar-SA"/>
    </w:rPr>
  </w:style>
  <w:style w:type="paragraph" w:styleId="3">
    <w:name w:val="endnote text"/>
    <w:basedOn w:val="1"/>
    <w:qFormat/>
    <w:uiPriority w:val="0"/>
    <w:pPr>
      <w:snapToGrid w:val="0"/>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NormalCharacter"/>
    <w:qFormat/>
    <w:uiPriority w:val="0"/>
    <w:rPr>
      <w:rFonts w:ascii="Calibri" w:hAnsi="Calibri" w:eastAsia="宋体" w:cs="Times New Roman"/>
      <w:spacing w:val="-10"/>
      <w:kern w:val="2"/>
      <w:sz w:val="21"/>
      <w:szCs w:val="24"/>
      <w:lang w:val="en-US" w:eastAsia="zh-CN" w:bidi="ar-SA"/>
    </w:rPr>
  </w:style>
  <w:style w:type="paragraph" w:customStyle="1" w:styleId="9">
    <w:name w:val="Body text|1"/>
    <w:basedOn w:val="1"/>
    <w:qFormat/>
    <w:uiPriority w:val="0"/>
    <w:pPr>
      <w:spacing w:line="418"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4683</Words>
  <Characters>4797</Characters>
  <Lines>0</Lines>
  <Paragraphs>0</Paragraphs>
  <TotalTime>24</TotalTime>
  <ScaleCrop>false</ScaleCrop>
  <LinksUpToDate>false</LinksUpToDate>
  <CharactersWithSpaces>4834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2025-03-31T02:23:00Z</dcterms:created>
  <dc:creator>AOC</dc:creator>
  <cp:lastModifiedBy>妈妈说名字长的人比较帅</cp:lastModifiedBy>
  <dcterms:modified xsi:type="dcterms:W3CDTF">2025-04-16T12:57:21Z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eyJoZGlkIjoiY2ZjZjRhY2NkODQzZTEzMTA4MDE4ZjEzYTFkNGJmMmUiLCJ1c2VySWQiOiIyMjk3NDY0OTAifQ==</vt:lpwstr>
  </property>
  <property fmtid="{D5CDD505-2E9C-101B-9397-08002B2CF9AE}" pid="4" name="ICV">
    <vt:lpwstr>CF60E20EC6F14CACBF714059CE94C85E_13</vt:lpwstr>
  </property>
</Properties>
</file>